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bidi w:val="0"/>
      </w:pPr>
      <w:r>
        <w:rPr>
          <w:rtl w:val="0"/>
        </w:rPr>
        <w:t>Relazione per l</w:t>
      </w:r>
      <w:r>
        <w:rPr>
          <w:rtl w:val="0"/>
        </w:rPr>
        <w:t>’</w:t>
      </w:r>
      <w:r>
        <w:rPr>
          <w:rtl w:val="0"/>
        </w:rPr>
        <w:t>adozione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5299637</wp:posOffset>
            </wp:positionH>
            <wp:positionV relativeFrom="line">
              <wp:posOffset>-14802</wp:posOffset>
            </wp:positionV>
            <wp:extent cx="613387" cy="6320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87" cy="6320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</w:t>
      </w:r>
    </w:p>
    <w:p>
      <w:pPr>
        <w:pStyle w:val="Sottotitolo"/>
        <w:bidi w:val="0"/>
      </w:pPr>
      <w:r>
        <w:rPr>
          <w:rtl w:val="0"/>
        </w:rPr>
        <w:t>Storie in fiore | Sussidiario dei linguaggi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Codice adozionale </w:t>
      </w:r>
      <w:r>
        <w:rPr>
          <w:b w:val="1"/>
          <w:bCs w:val="1"/>
          <w:rtl w:val="0"/>
          <w:lang w:val="de-DE"/>
        </w:rPr>
        <w:t xml:space="preserve">Classe </w:t>
      </w:r>
      <w:r>
        <w:rPr>
          <w:b w:val="1"/>
          <w:bCs w:val="1"/>
          <w:rtl w:val="0"/>
          <w:lang w:val="it-IT"/>
        </w:rPr>
        <w:t>4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tab/>
        <w:tab/>
      </w:r>
      <w:r>
        <w:rPr>
          <w:rtl w:val="0"/>
        </w:rPr>
        <w:t>978-88-8397-705-3</w:t>
      </w:r>
    </w:p>
    <w:p>
      <w:pPr>
        <w:pStyle w:val="Corpo"/>
        <w:bidi w:val="0"/>
      </w:pPr>
      <w:r>
        <w:rPr>
          <w:rtl w:val="0"/>
        </w:rPr>
        <w:t xml:space="preserve">Codice adozionale </w:t>
      </w:r>
      <w:r>
        <w:rPr>
          <w:b w:val="1"/>
          <w:bCs w:val="1"/>
          <w:rtl w:val="0"/>
          <w:lang w:val="de-DE"/>
        </w:rPr>
        <w:t xml:space="preserve">Classe </w:t>
      </w:r>
      <w:r>
        <w:rPr>
          <w:b w:val="1"/>
          <w:bCs w:val="1"/>
          <w:rtl w:val="0"/>
          <w:lang w:val="it-IT"/>
        </w:rPr>
        <w:t>5</w:t>
      </w:r>
      <w:r>
        <w:rPr>
          <w:rtl w:val="0"/>
        </w:rPr>
        <w:t>:</w:t>
      </w:r>
      <w:r>
        <w:rPr>
          <w:rtl w:val="0"/>
        </w:rPr>
        <w:t xml:space="preserve"> </w:t>
      </w:r>
      <w:r>
        <w:tab/>
        <w:tab/>
      </w:r>
      <w:r>
        <w:rPr>
          <w:rtl w:val="0"/>
        </w:rPr>
        <w:t>978-88-8397-720-6</w:t>
      </w:r>
    </w:p>
    <w:p>
      <w:pPr>
        <w:pStyle w:val="Corpo"/>
        <w:bidi w:val="0"/>
      </w:pPr>
    </w:p>
    <w:p>
      <w:pPr>
        <w:pStyle w:val="Intestazione 2"/>
        <w:bidi w:val="0"/>
      </w:pPr>
    </w:p>
    <w:p>
      <w:pPr>
        <w:pStyle w:val="Intestazione 2"/>
        <w:bidi w:val="0"/>
      </w:pPr>
      <w:r>
        <w:rPr>
          <w:rFonts w:cs="Arial Unicode MS" w:eastAsia="Arial Unicode MS"/>
          <w:rtl w:val="0"/>
          <w:lang w:val="en-US"/>
        </w:rPr>
        <w:t>SCELGO DI ADOTTARE STORIE IN FIORE PERCH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: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Offre un percorso di apprendimento finalizzato per una didattica delle competenze.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Sono proposte letture piacevoli e tante attivit</w:t>
      </w:r>
      <w:r>
        <w:rPr>
          <w:rtl w:val="0"/>
        </w:rPr>
        <w:t xml:space="preserve">à </w:t>
      </w:r>
      <w:r>
        <w:rPr>
          <w:rtl w:val="0"/>
        </w:rPr>
        <w:t>stimolanti e graduali per affrontare temi e argomenti vicini al vissuto dei bambini; le attivit</w:t>
      </w:r>
      <w:r>
        <w:rPr>
          <w:rtl w:val="0"/>
        </w:rPr>
        <w:t xml:space="preserve">à </w:t>
      </w:r>
      <w:r>
        <w:rPr>
          <w:rtl w:val="0"/>
        </w:rPr>
        <w:t xml:space="preserve">permettono, inoltre, di lavorare sulla crescita emotiva dei bambini e delle bambine attraverso storie e personaggi. 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È </w:t>
      </w:r>
      <w:r>
        <w:rPr>
          <w:rtl w:val="0"/>
        </w:rPr>
        <w:t>uno strumento molto efficace per garantire l</w:t>
      </w:r>
      <w:r>
        <w:rPr>
          <w:rtl w:val="1"/>
        </w:rPr>
        <w:t>’</w:t>
      </w:r>
      <w:r>
        <w:rPr>
          <w:rtl w:val="0"/>
        </w:rPr>
        <w:t xml:space="preserve">acquisizione delle competenze principali quali ascoltare, parlare, leggere, comprendere, analizzare, scrivere e riflettere sulla lingua, approfondendo, nel contempo, la conoscenza delle varie tipologie testuali e dei generi narrativi, che mettono in gioco risorse diverse per rendere dinamico il sapere e sviluppare il pensiero critico. 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Promuove l</w:t>
      </w:r>
      <w:r>
        <w:rPr>
          <w:rtl w:val="1"/>
        </w:rPr>
        <w:t>’</w:t>
      </w:r>
      <w:r>
        <w:rPr>
          <w:rtl w:val="0"/>
        </w:rPr>
        <w:t xml:space="preserve">apprendimento collaborativo e guida gli alunni ad impossessarsi delle strategie per </w:t>
      </w:r>
      <w:r>
        <w:rPr>
          <w:rtl w:val="1"/>
          <w:lang w:val="ar-SA" w:bidi="ar-SA"/>
        </w:rPr>
        <w:t>“</w:t>
      </w:r>
      <w:r>
        <w:rPr>
          <w:rtl w:val="0"/>
        </w:rPr>
        <w:t>imparare a imparare</w:t>
      </w:r>
      <w:r>
        <w:rPr>
          <w:rtl w:val="0"/>
        </w:rPr>
        <w:t xml:space="preserve">” </w:t>
      </w:r>
      <w:r>
        <w:rPr>
          <w:rtl w:val="0"/>
        </w:rPr>
        <w:t>al fine di acquisire competenze trasferibili in situazioni nuove.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Sviluppa l</w:t>
      </w:r>
      <w:r>
        <w:rPr>
          <w:rtl w:val="1"/>
        </w:rPr>
        <w:t>’</w:t>
      </w:r>
      <w:r>
        <w:rPr>
          <w:rtl w:val="0"/>
        </w:rPr>
        <w:t>autonomia personale e, attraverso l</w:t>
      </w:r>
      <w:r>
        <w:rPr>
          <w:rtl w:val="1"/>
        </w:rPr>
        <w:t>’</w:t>
      </w:r>
      <w:r>
        <w:rPr>
          <w:rtl w:val="0"/>
        </w:rPr>
        <w:t>autovalutazione che permea tutto il Progetto, ogni alunno ha la possibilit</w:t>
      </w:r>
      <w:r>
        <w:rPr>
          <w:rtl w:val="0"/>
        </w:rPr>
        <w:t xml:space="preserve">à </w:t>
      </w:r>
      <w:r>
        <w:rPr>
          <w:rtl w:val="0"/>
        </w:rPr>
        <w:t>di riflettere sul proprio percorso di apprendimento, dando contemporaneamente all</w:t>
      </w:r>
      <w:r>
        <w:rPr>
          <w:rtl w:val="1"/>
        </w:rPr>
        <w:t>’</w:t>
      </w:r>
      <w:r>
        <w:rPr>
          <w:rtl w:val="0"/>
        </w:rPr>
        <w:t>insegnante l</w:t>
      </w:r>
      <w:r>
        <w:rPr>
          <w:rtl w:val="1"/>
        </w:rPr>
        <w:t>’</w:t>
      </w:r>
      <w:r>
        <w:rPr>
          <w:rtl w:val="0"/>
        </w:rPr>
        <w:t>opportunit</w:t>
      </w:r>
      <w:r>
        <w:rPr>
          <w:rtl w:val="0"/>
        </w:rPr>
        <w:t xml:space="preserve">à </w:t>
      </w:r>
      <w:r>
        <w:rPr>
          <w:rtl w:val="0"/>
        </w:rPr>
        <w:t>di monitorare le proprie scelte didattiche per promuovere il successo formativo con attivit</w:t>
      </w:r>
      <w:r>
        <w:rPr>
          <w:rtl w:val="0"/>
        </w:rPr>
        <w:t xml:space="preserve">à </w:t>
      </w:r>
      <w:r>
        <w:rPr>
          <w:rtl w:val="0"/>
        </w:rPr>
        <w:t>mirate.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Nei volumi delle letture</w:t>
      </w:r>
      <w:r>
        <w:rPr>
          <w:rtl w:val="0"/>
        </w:rPr>
        <w:t> </w:t>
      </w:r>
      <w:r>
        <w:rPr>
          <w:rtl w:val="0"/>
        </w:rPr>
        <w:t>trovano spazio pagine dedicate alle stagioni che avvicinano gli alunni al tema della natura, con attivit</w:t>
      </w:r>
      <w:r>
        <w:rPr>
          <w:rtl w:val="0"/>
        </w:rPr>
        <w:t xml:space="preserve">à </w:t>
      </w:r>
      <w:r>
        <w:rPr>
          <w:rtl w:val="0"/>
        </w:rPr>
        <w:t>legate all</w:t>
      </w:r>
      <w:r>
        <w:rPr>
          <w:rtl w:val="1"/>
        </w:rPr>
        <w:t>’</w:t>
      </w:r>
      <w:r>
        <w:rPr>
          <w:rtl w:val="0"/>
        </w:rPr>
        <w:t xml:space="preserve">arte. 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Le unit</w:t>
      </w:r>
      <w:r>
        <w:rPr>
          <w:rtl w:val="0"/>
        </w:rPr>
        <w:t xml:space="preserve">à </w:t>
      </w:r>
      <w:r>
        <w:rPr>
          <w:rtl w:val="0"/>
        </w:rPr>
        <w:t>di apprendimento sono arricchite da rubriche, compiti di realt</w:t>
      </w:r>
      <w:r>
        <w:rPr>
          <w:rtl w:val="0"/>
        </w:rPr>
        <w:t>à</w:t>
      </w:r>
      <w:r>
        <w:rPr>
          <w:rtl w:val="0"/>
        </w:rPr>
        <w:t>, verifiche, attivit</w:t>
      </w:r>
      <w:r>
        <w:rPr>
          <w:rtl w:val="0"/>
        </w:rPr>
        <w:t xml:space="preserve">à </w:t>
      </w:r>
      <w:r>
        <w:rPr>
          <w:rtl w:val="0"/>
        </w:rPr>
        <w:t>di CLIL e di Flipped Classroom, argomenti attinenti all</w:t>
      </w:r>
      <w:r>
        <w:rPr>
          <w:rtl w:val="1"/>
        </w:rPr>
        <w:t>’</w:t>
      </w:r>
      <w:r>
        <w:rPr>
          <w:rtl w:val="0"/>
        </w:rPr>
        <w:t xml:space="preserve">Educazione Civica. 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Accoglienza</w:t>
      </w:r>
    </w:p>
    <w:p>
      <w:pPr>
        <w:pStyle w:val="Corpo"/>
        <w:bidi w:val="0"/>
      </w:pPr>
      <w:r>
        <w:rPr>
          <w:rtl w:val="0"/>
        </w:rPr>
        <w:t xml:space="preserve">Il volume Accoglienza, indirizzato agli alunni della classe quarta, </w:t>
      </w:r>
      <w:r>
        <w:rPr>
          <w:rtl w:val="0"/>
        </w:rPr>
        <w:t xml:space="preserve">è </w:t>
      </w:r>
      <w:r>
        <w:rPr>
          <w:rtl w:val="0"/>
        </w:rPr>
        <w:t>ricco di stimolanti attivit</w:t>
      </w:r>
      <w:r>
        <w:rPr>
          <w:rtl w:val="0"/>
        </w:rPr>
        <w:t xml:space="preserve">à </w:t>
      </w:r>
      <w:r>
        <w:rPr>
          <w:rtl w:val="0"/>
        </w:rPr>
        <w:t>interdisciplinari e di gruppo che, oltre a favorire l</w:t>
      </w:r>
      <w:r>
        <w:rPr>
          <w:rtl w:val="1"/>
        </w:rPr>
        <w:t>’</w:t>
      </w:r>
      <w:r>
        <w:rPr>
          <w:rtl w:val="0"/>
        </w:rPr>
        <w:t>accoglienza e la socializzazione e facilitare il progressivo adattamento alla realt</w:t>
      </w:r>
      <w:r>
        <w:rPr>
          <w:rtl w:val="0"/>
        </w:rPr>
        <w:t xml:space="preserve">à </w:t>
      </w:r>
      <w:r>
        <w:rPr>
          <w:rtl w:val="0"/>
        </w:rPr>
        <w:t>scolastica da parte di ogni alunno, potranno dare all</w:t>
      </w:r>
      <w:r>
        <w:rPr>
          <w:rtl w:val="1"/>
        </w:rPr>
        <w:t>’</w:t>
      </w:r>
      <w:r>
        <w:rPr>
          <w:rtl w:val="0"/>
        </w:rPr>
        <w:t>insegnante utili indicazioni circa il reale possesso delle competenze degli alunni in ingresso.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Grammatica</w:t>
      </w: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 xml:space="preserve">offerta formativa </w:t>
      </w:r>
      <w:r>
        <w:rPr>
          <w:rtl w:val="0"/>
        </w:rPr>
        <w:t xml:space="preserve">è </w:t>
      </w:r>
      <w:r>
        <w:rPr>
          <w:rtl w:val="0"/>
        </w:rPr>
        <w:t>completata da due volumi di grammatica, uno per ogni anno, ricchi di esercizi, per stimolare la riflessione sulla lingua e sulle regole morfosintattiche. Nei volumi sono presenti schede di verifica ed esercizi per le Prove INVALSI.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Gramma Facile</w:t>
      </w:r>
    </w:p>
    <w:p>
      <w:pPr>
        <w:pStyle w:val="Corpo"/>
        <w:bidi w:val="0"/>
      </w:pPr>
      <w:r>
        <w:rPr>
          <w:rtl w:val="0"/>
        </w:rPr>
        <w:t>I due volumi propongono regole e mappe da utilizzare come strumenti compensativi per apprendere con efficacia.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bidi w:val="0"/>
      </w:pPr>
      <w:r>
        <w:rPr>
          <w:b w:val="1"/>
          <w:bCs w:val="1"/>
          <w:rtl w:val="0"/>
          <w:lang w:val="it-IT"/>
        </w:rPr>
        <w:t>Quaderni di scrittura</w:t>
      </w: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>I quaderni di scrittura si caratterizzano per la produzione delle varie tipologie testuali, dei generi narrativi, per esercitarsi nel riassunto e affrontare pi</w:t>
      </w:r>
      <w:r>
        <w:rPr>
          <w:rtl w:val="0"/>
        </w:rPr>
        <w:t xml:space="preserve">ù </w:t>
      </w:r>
      <w:r>
        <w:rPr>
          <w:rtl w:val="0"/>
        </w:rPr>
        <w:t>serenamente le prove INVALSI.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Quaderni di valutazione</w:t>
      </w:r>
      <w:r>
        <w:rPr>
          <w:b w:val="1"/>
          <w:bCs w:val="1"/>
          <w:rtl w:val="0"/>
        </w:rPr>
        <w:t> </w:t>
      </w:r>
    </w:p>
    <w:p>
      <w:pPr>
        <w:pStyle w:val="Corpo"/>
        <w:bidi w:val="0"/>
      </w:pPr>
      <w:r>
        <w:rPr>
          <w:rtl w:val="0"/>
        </w:rPr>
        <w:t xml:space="preserve">sono validi strumenti atti a verificare, valutare e personalizzare i percorsi di apprendimento. Ogni volume </w:t>
      </w:r>
      <w:r>
        <w:rPr>
          <w:rtl w:val="0"/>
        </w:rPr>
        <w:t xml:space="preserve">è </w:t>
      </w:r>
      <w:r>
        <w:rPr>
          <w:rtl w:val="0"/>
        </w:rPr>
        <w:t>accompagnato dalla relativa Guida destinata agli insegnanti.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Arte e </w:t>
      </w:r>
      <w:r>
        <w:rPr>
          <w:b w:val="1"/>
          <w:bCs w:val="1"/>
          <w:rtl w:val="0"/>
          <w:lang w:val="it-IT"/>
        </w:rPr>
        <w:t>M</w:t>
      </w:r>
      <w:r>
        <w:rPr>
          <w:b w:val="1"/>
          <w:bCs w:val="1"/>
          <w:rtl w:val="0"/>
          <w:lang w:val="it-IT"/>
        </w:rPr>
        <w:t>usica</w:t>
      </w:r>
    </w:p>
    <w:p>
      <w:pPr>
        <w:pStyle w:val="Corpo"/>
        <w:bidi w:val="0"/>
      </w:pPr>
      <w:r>
        <w:rPr>
          <w:rtl w:val="0"/>
        </w:rPr>
        <w:t>Viene ampliato il percorso di arte gi</w:t>
      </w:r>
      <w:r>
        <w:rPr>
          <w:rtl w:val="0"/>
        </w:rPr>
        <w:t xml:space="preserve">à </w:t>
      </w:r>
      <w:r>
        <w:rPr>
          <w:rtl w:val="0"/>
        </w:rPr>
        <w:t>presente nei volumi di letture e si propone un viaggio nella musica permettendo a ciascun alunno di esprimere appieno la propria creativit</w:t>
      </w:r>
      <w:r>
        <w:rPr>
          <w:rtl w:val="0"/>
        </w:rPr>
        <w:t xml:space="preserve">à </w:t>
      </w:r>
      <w:r>
        <w:rPr>
          <w:rtl w:val="0"/>
        </w:rPr>
        <w:t>e il proprio vissuto emozionale.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Educazione Civica</w:t>
      </w:r>
    </w:p>
    <w:p>
      <w:pPr>
        <w:pStyle w:val="Corpo"/>
        <w:bidi w:val="0"/>
      </w:pPr>
      <w:r>
        <w:rPr>
          <w:rtl w:val="0"/>
        </w:rPr>
        <w:t>Il volume di educazione civica per le due classi consente di affrontare un percorso graduale per maturare competenze di cittadinanza globale. I temi sviluppati in chiave interdisciplinare rispettano pienamente le Linee Guida Ministeriali presentate</w:t>
      </w:r>
      <w:r>
        <w:rPr>
          <w:rtl w:val="0"/>
        </w:rPr>
        <w:t> </w:t>
      </w:r>
      <w:r>
        <w:rPr>
          <w:rtl w:val="0"/>
        </w:rPr>
        <w:t>in applicazione della</w:t>
      </w:r>
      <w:r>
        <w:rPr>
          <w:rtl w:val="0"/>
        </w:rPr>
        <w:t> </w:t>
      </w:r>
      <w:r>
        <w:rPr>
          <w:rtl w:val="0"/>
        </w:rPr>
        <w:t>legge del 20 agosto 2019, n. 92 e le indicazioni dell</w:t>
      </w:r>
      <w:r>
        <w:rPr>
          <w:rtl w:val="1"/>
        </w:rPr>
        <w:t>’</w:t>
      </w:r>
      <w:r>
        <w:rPr>
          <w:rtl w:val="0"/>
        </w:rPr>
        <w:t>Agenda 2030, prestando attenzione all</w:t>
      </w:r>
      <w:r>
        <w:rPr>
          <w:rtl w:val="1"/>
        </w:rPr>
        <w:t>’</w:t>
      </w:r>
      <w:r>
        <w:rPr>
          <w:rtl w:val="0"/>
        </w:rPr>
        <w:t>attualit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  <w:lang w:val="it-IT"/>
        </w:rPr>
        <w:t>uida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insegnante</w:t>
      </w:r>
    </w:p>
    <w:p>
      <w:pPr>
        <w:pStyle w:val="Corpo"/>
        <w:bidi w:val="0"/>
      </w:pPr>
      <w:r>
        <w:rPr>
          <w:rtl w:val="0"/>
        </w:rPr>
        <w:t>La Guida per le classi quarte e quinte offre ai docenti strumenti e numerose proposte diversificate per un percorso operativo ricco e articolato, a garanzia di una formazione solida e completa di ciascun alunno. A richiesta dell</w:t>
      </w:r>
      <w:r>
        <w:rPr>
          <w:rtl w:val="1"/>
        </w:rPr>
        <w:t>’</w:t>
      </w:r>
      <w:r>
        <w:rPr>
          <w:rtl w:val="0"/>
        </w:rPr>
        <w:t>insegnante, due volumi di testi facilitati e semplificati consentono di realizzare un percorso di didattica inclusiva in grado di rispondere ai bisogni degli alunni.</w:t>
      </w:r>
    </w:p>
    <w:p>
      <w:pPr>
        <w:pStyle w:val="Corpo"/>
        <w:bidi w:val="0"/>
      </w:pPr>
    </w:p>
    <w:p>
      <w:pPr>
        <w:pStyle w:val="Corpo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152400</wp:posOffset>
            </wp:positionV>
            <wp:extent cx="6120057" cy="18660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866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